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B5AFE" w14:textId="77777777" w:rsidR="0028458F" w:rsidRDefault="0028458F" w:rsidP="0028458F">
      <w:pPr>
        <w:pStyle w:val="Overskrift2"/>
        <w:rPr>
          <w:rFonts w:ascii="Trebuchet MS" w:hAnsi="Trebuchet MS"/>
        </w:rPr>
      </w:pPr>
      <w:bookmarkStart w:id="0" w:name="_Toc483747570"/>
      <w:r>
        <w:rPr>
          <w:rFonts w:ascii="Trebuchet MS" w:hAnsi="Trebuchet MS"/>
        </w:rPr>
        <w:t xml:space="preserve">Vedlegg til veileder lokale forhandlinger kommunalt avtaleområde </w:t>
      </w:r>
    </w:p>
    <w:p w14:paraId="4DDE7F90" w14:textId="77777777" w:rsidR="0028458F" w:rsidRPr="0028458F" w:rsidRDefault="0028458F" w:rsidP="0028458F"/>
    <w:p w14:paraId="6BD0A77A" w14:textId="77777777" w:rsidR="0028458F" w:rsidRDefault="0028458F" w:rsidP="0028458F">
      <w:pPr>
        <w:pStyle w:val="Tittel"/>
      </w:pPr>
      <w:bookmarkStart w:id="1" w:name="_GoBack"/>
      <w:r w:rsidRPr="00074F25">
        <w:t>Protokolltilførsler</w:t>
      </w:r>
      <w:bookmarkEnd w:id="0"/>
    </w:p>
    <w:bookmarkEnd w:id="1"/>
    <w:p w14:paraId="3EB5F04D" w14:textId="77777777" w:rsidR="0028458F" w:rsidRPr="0028458F" w:rsidRDefault="0028458F" w:rsidP="0028458F"/>
    <w:p w14:paraId="64D092E9" w14:textId="77777777" w:rsidR="0028458F" w:rsidRPr="00074F25" w:rsidRDefault="0028458F" w:rsidP="0028458F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Vi snakker om ensidige og gjensidige (felles) protokolltilførsler. Ensidig protokolltilførsler gir uttrykk for den ene parts syn og kan kreves inntatt under partenes underskrift. Brukes ofte for å uttrykke misnøye. Gjensidig protokolltilførsel uttrykker partenes felles forståelse.</w:t>
      </w:r>
    </w:p>
    <w:p w14:paraId="30A0E5CA" w14:textId="77777777" w:rsidR="0028458F" w:rsidRPr="00074F25" w:rsidRDefault="0028458F" w:rsidP="0028458F">
      <w:pPr>
        <w:rPr>
          <w:rFonts w:ascii="Trebuchet MS" w:hAnsi="Trebuchet MS" w:cs="Arial"/>
        </w:rPr>
      </w:pPr>
    </w:p>
    <w:p w14:paraId="279C3480" w14:textId="77777777" w:rsidR="0028458F" w:rsidRPr="00074F25" w:rsidRDefault="0028458F" w:rsidP="0028458F">
      <w:pPr>
        <w:outlineLvl w:val="0"/>
        <w:rPr>
          <w:rFonts w:ascii="Trebuchet MS" w:hAnsi="Trebuchet MS" w:cs="Arial"/>
        </w:rPr>
      </w:pPr>
      <w:r w:rsidRPr="00074F25">
        <w:rPr>
          <w:rFonts w:ascii="Trebuchet MS" w:hAnsi="Trebuchet MS" w:cs="Arial"/>
          <w:u w:val="single"/>
        </w:rPr>
        <w:t>Eksempel på ensidig protokolltilførsel:</w:t>
      </w:r>
    </w:p>
    <w:p w14:paraId="2E96DC3B" w14:textId="77777777" w:rsidR="0028458F" w:rsidRPr="00074F25" w:rsidRDefault="0028458F" w:rsidP="0028458F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«NITO er opptatt av at stillingene som seksjonsledere i teknisk etat harmoniseres lønnsmessig. Vi ber imidlertid om at arbeidsgiver tar hensyn til dette ved neste lønnsoppgjør.»</w:t>
      </w:r>
    </w:p>
    <w:p w14:paraId="6C8B9314" w14:textId="77777777" w:rsidR="0028458F" w:rsidRPr="00425D6A" w:rsidRDefault="0028458F" w:rsidP="0028458F">
      <w:pPr>
        <w:rPr>
          <w:rFonts w:ascii="Trebuchet MS" w:hAnsi="Trebuchet MS" w:cs="Arial"/>
          <w:i/>
          <w:iCs/>
        </w:rPr>
      </w:pPr>
    </w:p>
    <w:p w14:paraId="419669B1" w14:textId="77777777" w:rsidR="0028458F" w:rsidRPr="00425D6A" w:rsidRDefault="0028458F" w:rsidP="0028458F">
      <w:pPr>
        <w:outlineLvl w:val="0"/>
        <w:rPr>
          <w:rFonts w:ascii="Trebuchet MS" w:hAnsi="Trebuchet MS" w:cs="Arial"/>
          <w:i/>
          <w:iCs/>
        </w:rPr>
      </w:pPr>
      <w:r w:rsidRPr="00425D6A">
        <w:rPr>
          <w:rFonts w:ascii="Trebuchet MS" w:hAnsi="Trebuchet MS" w:cs="Arial"/>
          <w:i/>
          <w:iCs/>
        </w:rPr>
        <w:t>Underskrift ved NITO.</w:t>
      </w:r>
    </w:p>
    <w:p w14:paraId="426175DB" w14:textId="77777777" w:rsidR="00425D6A" w:rsidRDefault="00425D6A" w:rsidP="0028458F">
      <w:pPr>
        <w:outlineLvl w:val="0"/>
        <w:rPr>
          <w:rFonts w:ascii="Trebuchet MS" w:hAnsi="Trebuchet MS" w:cs="Arial"/>
        </w:rPr>
      </w:pPr>
    </w:p>
    <w:p w14:paraId="2FF32222" w14:textId="77777777" w:rsidR="00425D6A" w:rsidRPr="00425D6A" w:rsidRDefault="00425D6A" w:rsidP="0028458F">
      <w:pPr>
        <w:outlineLvl w:val="0"/>
        <w:rPr>
          <w:rFonts w:ascii="Trebuchet MS" w:hAnsi="Trebuchet MS" w:cs="Arial"/>
          <w:u w:val="single"/>
        </w:rPr>
      </w:pPr>
      <w:r w:rsidRPr="00425D6A">
        <w:rPr>
          <w:rFonts w:ascii="Trebuchet MS" w:hAnsi="Trebuchet MS" w:cs="Arial"/>
          <w:u w:val="single"/>
        </w:rPr>
        <w:t>Eksempler på ensidige protokolltilførsler særlig knyttet til situasjonen i 2020:</w:t>
      </w:r>
    </w:p>
    <w:p w14:paraId="1D714872" w14:textId="77777777" w:rsidR="00425D6A" w:rsidRDefault="00425D6A" w:rsidP="00425D6A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>«</w:t>
      </w:r>
      <w:r w:rsidRPr="00425D6A">
        <w:rPr>
          <w:rFonts w:ascii="Trebuchet MS" w:hAnsi="Trebuchet MS" w:cs="Arial"/>
        </w:rPr>
        <w:t>NITO er kjent med den økonomien situasjonen kommunen er i, men vi ville avholde lokale forhandlinger da dette var et klart råd fra sentralt hold og vi har rett/plikt til å fastsette lokal lønnsdannelse</w:t>
      </w:r>
      <w:r>
        <w:rPr>
          <w:rFonts w:ascii="Trebuchet MS" w:hAnsi="Trebuchet MS" w:cs="Arial"/>
        </w:rPr>
        <w:t>.»</w:t>
      </w:r>
    </w:p>
    <w:p w14:paraId="1DF50BF1" w14:textId="77777777" w:rsidR="00425D6A" w:rsidRDefault="00425D6A" w:rsidP="00425D6A">
      <w:pPr>
        <w:rPr>
          <w:rFonts w:ascii="Trebuchet MS" w:hAnsi="Trebuchet MS" w:cs="Arial"/>
        </w:rPr>
      </w:pPr>
    </w:p>
    <w:p w14:paraId="5CD7DDD0" w14:textId="77777777" w:rsidR="0028458F" w:rsidRDefault="00425D6A" w:rsidP="00425D6A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>«</w:t>
      </w:r>
      <w:r w:rsidRPr="00425D6A">
        <w:rPr>
          <w:rFonts w:ascii="Trebuchet MS" w:hAnsi="Trebuchet MS" w:cs="Arial"/>
        </w:rPr>
        <w:t>NITO vil forbeholde seg retten til å kunne gjenoppta lokale forhandlinger, dersom resultatet i meklingen for hovedoppgjøret 2020 mellom de sentrale parter tilsier det.</w:t>
      </w:r>
      <w:r>
        <w:rPr>
          <w:rFonts w:ascii="Trebuchet MS" w:hAnsi="Trebuchet MS" w:cs="Arial"/>
        </w:rPr>
        <w:t>»</w:t>
      </w:r>
    </w:p>
    <w:p w14:paraId="6065566B" w14:textId="77777777" w:rsidR="00425D6A" w:rsidRDefault="00425D6A" w:rsidP="00425D6A">
      <w:pPr>
        <w:rPr>
          <w:rFonts w:ascii="Trebuchet MS" w:hAnsi="Trebuchet MS" w:cs="Arial"/>
        </w:rPr>
      </w:pPr>
    </w:p>
    <w:p w14:paraId="2AB12941" w14:textId="77777777" w:rsidR="00425D6A" w:rsidRDefault="00425D6A" w:rsidP="00425D6A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>«NITO</w:t>
      </w:r>
      <w:r w:rsidRPr="00425D6A">
        <w:rPr>
          <w:rFonts w:ascii="Trebuchet MS" w:hAnsi="Trebuchet MS" w:cs="Arial"/>
        </w:rPr>
        <w:t xml:space="preserve"> anser det som mest ryddig og korrekt å forhandle om datolønnsvekst for våre </w:t>
      </w:r>
      <w:proofErr w:type="spellStart"/>
      <w:r w:rsidRPr="00425D6A">
        <w:rPr>
          <w:rFonts w:ascii="Trebuchet MS" w:hAnsi="Trebuchet MS" w:cs="Arial"/>
        </w:rPr>
        <w:t>medlemmer.</w:t>
      </w:r>
      <w:r>
        <w:rPr>
          <w:rFonts w:ascii="Trebuchet MS" w:hAnsi="Trebuchet MS" w:cs="Arial"/>
        </w:rPr>
        <w:t>»</w:t>
      </w:r>
      <w:proofErr w:type="spellEnd"/>
    </w:p>
    <w:p w14:paraId="6988690B" w14:textId="77777777" w:rsidR="00425D6A" w:rsidRDefault="00425D6A" w:rsidP="00425D6A">
      <w:pPr>
        <w:rPr>
          <w:rFonts w:ascii="Trebuchet MS" w:hAnsi="Trebuchet MS" w:cs="Arial"/>
        </w:rPr>
      </w:pPr>
    </w:p>
    <w:p w14:paraId="3132C14F" w14:textId="77777777" w:rsidR="00425D6A" w:rsidRDefault="00425D6A" w:rsidP="00425D6A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>«NITO</w:t>
      </w:r>
      <w:r w:rsidRPr="00425D6A">
        <w:rPr>
          <w:rFonts w:ascii="Trebuchet MS" w:hAnsi="Trebuchet MS" w:cs="Arial"/>
        </w:rPr>
        <w:t xml:space="preserve"> mener at overheng og glidning er arbeidsgivers budsjettekniske ansvar og ikke </w:t>
      </w:r>
      <w:proofErr w:type="spellStart"/>
      <w:r w:rsidRPr="00425D6A">
        <w:rPr>
          <w:rFonts w:ascii="Trebuchet MS" w:hAnsi="Trebuchet MS" w:cs="Arial"/>
        </w:rPr>
        <w:t>vårt.</w:t>
      </w:r>
      <w:r>
        <w:rPr>
          <w:rFonts w:ascii="Trebuchet MS" w:hAnsi="Trebuchet MS" w:cs="Arial"/>
        </w:rPr>
        <w:t>»</w:t>
      </w:r>
      <w:proofErr w:type="spellEnd"/>
    </w:p>
    <w:p w14:paraId="032EC646" w14:textId="77777777" w:rsidR="00425D6A" w:rsidRDefault="00425D6A" w:rsidP="00425D6A">
      <w:pPr>
        <w:rPr>
          <w:rFonts w:ascii="Trebuchet MS" w:hAnsi="Trebuchet MS" w:cs="Arial"/>
        </w:rPr>
      </w:pPr>
    </w:p>
    <w:p w14:paraId="3479255A" w14:textId="77777777" w:rsidR="00425D6A" w:rsidRDefault="00425D6A" w:rsidP="00425D6A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>«NITO</w:t>
      </w:r>
      <w:r w:rsidRPr="00425D6A">
        <w:rPr>
          <w:rFonts w:ascii="Trebuchet MS" w:hAnsi="Trebuchet MS" w:cs="Arial"/>
        </w:rPr>
        <w:t xml:space="preserve"> forventer reelle, frie lokale og kollektive forhandlinger neste år i tråd med tariffavtalen.</w:t>
      </w:r>
      <w:r>
        <w:rPr>
          <w:rFonts w:ascii="Trebuchet MS" w:hAnsi="Trebuchet MS" w:cs="Arial"/>
        </w:rPr>
        <w:t>»</w:t>
      </w:r>
    </w:p>
    <w:p w14:paraId="269AB0D6" w14:textId="77777777" w:rsidR="00425D6A" w:rsidRDefault="00425D6A" w:rsidP="00425D6A">
      <w:pPr>
        <w:rPr>
          <w:rFonts w:ascii="Trebuchet MS" w:hAnsi="Trebuchet MS" w:cs="Arial"/>
        </w:rPr>
      </w:pPr>
    </w:p>
    <w:p w14:paraId="177EC2A2" w14:textId="77777777" w:rsidR="00425D6A" w:rsidRPr="00425D6A" w:rsidRDefault="00425D6A" w:rsidP="00425D6A">
      <w:pPr>
        <w:outlineLvl w:val="0"/>
        <w:rPr>
          <w:rFonts w:ascii="Trebuchet MS" w:hAnsi="Trebuchet MS" w:cs="Arial"/>
          <w:i/>
          <w:iCs/>
        </w:rPr>
      </w:pPr>
      <w:r w:rsidRPr="00425D6A">
        <w:rPr>
          <w:rFonts w:ascii="Trebuchet MS" w:hAnsi="Trebuchet MS" w:cs="Arial"/>
          <w:i/>
          <w:iCs/>
        </w:rPr>
        <w:t>Underskrift ved NITO.</w:t>
      </w:r>
    </w:p>
    <w:p w14:paraId="74FD7FDD" w14:textId="77777777" w:rsidR="00425D6A" w:rsidRDefault="00425D6A" w:rsidP="00425D6A">
      <w:pPr>
        <w:rPr>
          <w:rFonts w:ascii="Trebuchet MS" w:hAnsi="Trebuchet MS" w:cs="Arial"/>
        </w:rPr>
      </w:pPr>
    </w:p>
    <w:p w14:paraId="3C1F3846" w14:textId="77777777" w:rsidR="00425D6A" w:rsidRPr="00074F25" w:rsidRDefault="00425D6A" w:rsidP="0028458F">
      <w:pPr>
        <w:rPr>
          <w:rFonts w:ascii="Trebuchet MS" w:hAnsi="Trebuchet MS" w:cs="Arial"/>
        </w:rPr>
      </w:pPr>
    </w:p>
    <w:p w14:paraId="14BE99FE" w14:textId="77777777" w:rsidR="0028458F" w:rsidRPr="00074F25" w:rsidRDefault="0028458F" w:rsidP="0028458F">
      <w:pPr>
        <w:outlineLvl w:val="0"/>
        <w:rPr>
          <w:rFonts w:ascii="Trebuchet MS" w:hAnsi="Trebuchet MS" w:cs="Arial"/>
        </w:rPr>
      </w:pPr>
      <w:r w:rsidRPr="00074F25">
        <w:rPr>
          <w:rFonts w:ascii="Trebuchet MS" w:hAnsi="Trebuchet MS" w:cs="Arial"/>
          <w:u w:val="single"/>
        </w:rPr>
        <w:t>Eksempel på gjensidig protokolltilførsel:</w:t>
      </w:r>
    </w:p>
    <w:p w14:paraId="6F266077" w14:textId="77777777" w:rsidR="0028458F" w:rsidRPr="00074F25" w:rsidRDefault="0028458F" w:rsidP="0028458F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«</w:t>
      </w:r>
      <w:proofErr w:type="spellStart"/>
      <w:r w:rsidRPr="00074F25">
        <w:rPr>
          <w:rFonts w:ascii="Trebuchet MS" w:hAnsi="Trebuchet MS" w:cs="Arial"/>
        </w:rPr>
        <w:t>Lullevik</w:t>
      </w:r>
      <w:proofErr w:type="spellEnd"/>
      <w:r w:rsidRPr="00074F25">
        <w:rPr>
          <w:rFonts w:ascii="Trebuchet MS" w:hAnsi="Trebuchet MS" w:cs="Arial"/>
        </w:rPr>
        <w:t xml:space="preserve"> kommune og NITO er enige om at det er viktig at stillingene som seksjonsledere i teknisk etat harmoniseres når det gjelder avlønning</w:t>
      </w:r>
    </w:p>
    <w:p w14:paraId="2E4FA21A" w14:textId="77777777" w:rsidR="0028458F" w:rsidRPr="00074F25" w:rsidRDefault="0028458F" w:rsidP="0028458F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Partene er enige om at neste lønnsoppgjør skal sees i lys av dette.»</w:t>
      </w:r>
    </w:p>
    <w:p w14:paraId="400A9670" w14:textId="77777777" w:rsidR="0028458F" w:rsidRPr="00074F25" w:rsidRDefault="0028458F" w:rsidP="0028458F">
      <w:pPr>
        <w:rPr>
          <w:rFonts w:ascii="Trebuchet MS" w:hAnsi="Trebuchet MS" w:cs="Arial"/>
        </w:rPr>
      </w:pPr>
    </w:p>
    <w:p w14:paraId="713A1C1A" w14:textId="77777777" w:rsidR="0028458F" w:rsidRPr="00425D6A" w:rsidRDefault="0028458F" w:rsidP="0028458F">
      <w:pPr>
        <w:rPr>
          <w:rFonts w:ascii="Trebuchet MS" w:hAnsi="Trebuchet MS" w:cs="Arial"/>
          <w:i/>
          <w:iCs/>
        </w:rPr>
      </w:pPr>
      <w:r w:rsidRPr="00425D6A">
        <w:rPr>
          <w:rFonts w:ascii="Trebuchet MS" w:hAnsi="Trebuchet MS" w:cs="Arial"/>
          <w:i/>
          <w:iCs/>
        </w:rPr>
        <w:t>Underskrives av begge parter.</w:t>
      </w:r>
    </w:p>
    <w:p w14:paraId="5D551458" w14:textId="77777777" w:rsidR="00BC46B2" w:rsidRDefault="00BC46B2"/>
    <w:sectPr w:rsidR="00BC46B2" w:rsidSect="00CB2705">
      <w:footerReference w:type="default" r:id="rId9"/>
      <w:pgSz w:w="11906" w:h="16838" w:code="9"/>
      <w:pgMar w:top="2516" w:right="748" w:bottom="215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12B6B" w14:textId="77777777" w:rsidR="00000000" w:rsidRDefault="007D23BC">
      <w:r>
        <w:separator/>
      </w:r>
    </w:p>
  </w:endnote>
  <w:endnote w:type="continuationSeparator" w:id="0">
    <w:p w14:paraId="592DCFC0" w14:textId="77777777" w:rsidR="00000000" w:rsidRDefault="007D2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ender Book"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7646A" w14:textId="77777777" w:rsidR="00074F25" w:rsidRDefault="0028458F" w:rsidP="00C50DD9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14:paraId="46D4251A" w14:textId="77777777" w:rsidR="00074F25" w:rsidRPr="000A1A6B" w:rsidRDefault="0028458F" w:rsidP="00C50DD9">
    <w:pPr>
      <w:pStyle w:val="Bunntekst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4DD82" wp14:editId="01B27F93">
              <wp:simplePos x="0" y="0"/>
              <wp:positionH relativeFrom="column">
                <wp:posOffset>-342900</wp:posOffset>
              </wp:positionH>
              <wp:positionV relativeFrom="paragraph">
                <wp:posOffset>37465</wp:posOffset>
              </wp:positionV>
              <wp:extent cx="6743700" cy="457200"/>
              <wp:effectExtent l="0" t="635" r="381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D4D87C" w14:textId="77777777" w:rsidR="00074F25" w:rsidRPr="00C50DD9" w:rsidRDefault="007D23BC" w:rsidP="00C50DD9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04DD8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27pt;margin-top:2.95pt;width:531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7MP7gEAAMYDAAAOAAAAZHJzL2Uyb0RvYy54bWysU1Fv0zAQfkfiP1h+p0lHaVnUdBqbhpDG&#10;QNr4ARfHaSwSnzm7Tcqv5+x0pYM3xItl312++77vLuurse/EXpM3aEs5n+VSaKuwNnZbym9Pd2/e&#10;S+ED2Bo6tLqUB+3l1eb1q/XgCn2BLXa1JsEg1heDK2UbgiuyzKtW9+Bn6LTlZIPUQ+AnbbOaYGD0&#10;vssu8nyZDUi1I1Tae47eTkm5SfhNo1X40jReB9GVkrmFdFI6q3hmmzUUWwLXGnWkAf/AogdjuekJ&#10;6hYCiB2Zv6B6owg9NmGmsM+waYzSSQOrmed/qHlswemkhc3x7mST/3+w6mH/lYSpeXZSWOh5RE96&#10;DOIDjmIZ3RmcL7jo0XFZGDkcK6NS7+5RfffC4k0LdquviXBoNdTMbh6/zM4+nXB8BKmGz1hzG9gF&#10;TEBjQ30EZDMEo/OUDqfJRCqKg8vV4u0q55Ti3OLdikefWkDx/LUjHz5q7EW8lJJ48gkd9vc+RDZQ&#10;PJfEZhbvTNel6Xf2RYALYySxj4Qn6mGsxqMbFdYH1kE4LRMvP19apJ9SDLxIpfQ/dkBaiu6TZS8u&#10;54tF3Lz0SNSloPNMdZ4BqxiqlEGK6XoTpm3dOTLbljtN7lu8Zv8ak6RFoydWR968LEnxcbHjNp6/&#10;U9Xv32/zCwAA//8DAFBLAwQUAAYACAAAACEAqe+oQt0AAAAJAQAADwAAAGRycy9kb3ducmV2Lnht&#10;bEyPzW7CMBCE75V4B2uRegObihQSskFVq15blf5I3Ey8JBHxOooNSd++5lSOs7Oa+SbfjrYVF+p9&#10;4xhhMVcgiEtnGq4Qvj5fZ2sQPmg2unVMCL/kYVtM7nKdGTfwB112oRIxhH2mEeoQukxKX9ZktZ+7&#10;jjh6R9dbHaLsK2l6PcRw28oHpR6l1Q3Hhlp39FxTedqdLcL323H/s1Tv1YtNusGNSrJNJeL9dHza&#10;gAg0hv9nuOJHdCgi08Gd2XjRIsySZdwSEJIUxNVXah0PB4TVKgVZ5PJ2QfEHAAD//wMAUEsBAi0A&#10;FAAGAAgAAAAhALaDOJL+AAAA4QEAABMAAAAAAAAAAAAAAAAAAAAAAFtDb250ZW50X1R5cGVzXS54&#10;bWxQSwECLQAUAAYACAAAACEAOP0h/9YAAACUAQAACwAAAAAAAAAAAAAAAAAvAQAAX3JlbHMvLnJl&#10;bHNQSwECLQAUAAYACAAAACEAA7uzD+4BAADGAwAADgAAAAAAAAAAAAAAAAAuAgAAZHJzL2Uyb0Rv&#10;Yy54bWxQSwECLQAUAAYACAAAACEAqe+oQt0AAAAJAQAADwAAAAAAAAAAAAAAAABIBAAAZHJzL2Rv&#10;d25yZXYueG1sUEsFBgAAAAAEAAQA8wAAAFIFAAAAAA==&#10;" filled="f" stroked="f">
              <v:textbox>
                <w:txbxContent>
                  <w:p w14:paraId="37D4D87C" w14:textId="77777777" w:rsidR="00074F25" w:rsidRPr="00C50DD9" w:rsidRDefault="007D23BC" w:rsidP="00C50DD9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12165" w14:textId="77777777" w:rsidR="00000000" w:rsidRDefault="007D23BC">
      <w:r>
        <w:separator/>
      </w:r>
    </w:p>
  </w:footnote>
  <w:footnote w:type="continuationSeparator" w:id="0">
    <w:p w14:paraId="56005C62" w14:textId="77777777" w:rsidR="00000000" w:rsidRDefault="007D2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58F"/>
    <w:rsid w:val="0028458F"/>
    <w:rsid w:val="00425D6A"/>
    <w:rsid w:val="007D23BC"/>
    <w:rsid w:val="00BC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6442"/>
  <w15:chartTrackingRefBased/>
  <w15:docId w15:val="{D480CFEA-98BE-40C5-A077-986AE2CE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58F"/>
    <w:pPr>
      <w:spacing w:after="0" w:line="240" w:lineRule="auto"/>
    </w:pPr>
    <w:rPr>
      <w:rFonts w:ascii="Blender Book" w:eastAsia="Times New Roman" w:hAnsi="Blender Book" w:cs="Times New Roman"/>
      <w:sz w:val="24"/>
      <w:szCs w:val="20"/>
      <w:lang w:eastAsia="nb-NO"/>
    </w:rPr>
  </w:style>
  <w:style w:type="paragraph" w:styleId="Overskrift2">
    <w:name w:val="heading 2"/>
    <w:basedOn w:val="Normal"/>
    <w:next w:val="Normal"/>
    <w:link w:val="Overskrift2Tegn"/>
    <w:qFormat/>
    <w:rsid w:val="0028458F"/>
    <w:pPr>
      <w:keepNext/>
      <w:spacing w:before="120" w:after="120"/>
      <w:outlineLvl w:val="1"/>
    </w:pPr>
    <w:rPr>
      <w:b/>
      <w:i/>
      <w:snapToGrid w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28458F"/>
    <w:rPr>
      <w:rFonts w:ascii="Blender Book" w:eastAsia="Times New Roman" w:hAnsi="Blender Book" w:cs="Times New Roman"/>
      <w:b/>
      <w:i/>
      <w:snapToGrid w:val="0"/>
      <w:sz w:val="24"/>
      <w:szCs w:val="20"/>
      <w:lang w:eastAsia="nb-NO"/>
    </w:rPr>
  </w:style>
  <w:style w:type="paragraph" w:styleId="Bunntekst">
    <w:name w:val="footer"/>
    <w:basedOn w:val="Normal"/>
    <w:link w:val="BunntekstTegn"/>
    <w:rsid w:val="0028458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28458F"/>
    <w:rPr>
      <w:rFonts w:ascii="Blender Book" w:eastAsia="Times New Roman" w:hAnsi="Blender Book" w:cs="Times New Roman"/>
      <w:sz w:val="24"/>
      <w:szCs w:val="20"/>
      <w:lang w:eastAsia="nb-NO"/>
    </w:rPr>
  </w:style>
  <w:style w:type="character" w:styleId="Sidetall">
    <w:name w:val="page number"/>
    <w:basedOn w:val="Standardskriftforavsnitt"/>
    <w:rsid w:val="0028458F"/>
  </w:style>
  <w:style w:type="paragraph" w:styleId="Tittel">
    <w:name w:val="Title"/>
    <w:basedOn w:val="Normal"/>
    <w:next w:val="Normal"/>
    <w:link w:val="TittelTegn"/>
    <w:uiPriority w:val="10"/>
    <w:qFormat/>
    <w:rsid w:val="0028458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8458F"/>
    <w:rPr>
      <w:rFonts w:asciiTheme="majorHAnsi" w:eastAsiaTheme="majorEastAsia" w:hAnsiTheme="majorHAnsi" w:cstheme="majorBidi"/>
      <w:spacing w:val="-10"/>
      <w:kern w:val="28"/>
      <w:sz w:val="56"/>
      <w:szCs w:val="5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2C80EF83C65E44A16CACBAEE94963C" ma:contentTypeVersion="10" ma:contentTypeDescription="Opprett et nytt dokument." ma:contentTypeScope="" ma:versionID="6c212e0e7102e462ac8d2f8f8f14f5c1">
  <xsd:schema xmlns:xsd="http://www.w3.org/2001/XMLSchema" xmlns:xs="http://www.w3.org/2001/XMLSchema" xmlns:p="http://schemas.microsoft.com/office/2006/metadata/properties" xmlns:ns2="fd44d337-beb1-4d45-aeb7-3ac37065df1e" xmlns:ns3="382fa76a-d2f2-4570-9eed-11df011c9d81" targetNamespace="http://schemas.microsoft.com/office/2006/metadata/properties" ma:root="true" ma:fieldsID="c346299f085aa88ccc2e287bbb93e147" ns2:_="" ns3:_="">
    <xsd:import namespace="fd44d337-beb1-4d45-aeb7-3ac37065df1e"/>
    <xsd:import namespace="382fa76a-d2f2-4570-9eed-11df011c9d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4d337-beb1-4d45-aeb7-3ac37065df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fa76a-d2f2-4570-9eed-11df011c9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307B3A-EB40-4B8C-BCED-8542E0B92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44d337-beb1-4d45-aeb7-3ac37065df1e"/>
    <ds:schemaRef ds:uri="382fa76a-d2f2-4570-9eed-11df011c9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47FC3C-DAD3-4635-8CEB-6C09661E31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B98F6-9B23-4D1C-8D3F-1C470853AAE3}">
  <ds:schemaRefs>
    <ds:schemaRef ds:uri="http://purl.org/dc/elements/1.1/"/>
    <ds:schemaRef ds:uri="http://schemas.openxmlformats.org/package/2006/metadata/core-properties"/>
    <ds:schemaRef ds:uri="http://purl.org/dc/terms/"/>
    <ds:schemaRef ds:uri="382fa76a-d2f2-4570-9eed-11df011c9d81"/>
    <ds:schemaRef ds:uri="http://schemas.microsoft.com/office/infopath/2007/PartnerControls"/>
    <ds:schemaRef ds:uri="http://schemas.microsoft.com/office/2006/documentManagement/types"/>
    <ds:schemaRef ds:uri="fd44d337-beb1-4d45-aeb7-3ac37065df1e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Tindeland</dc:creator>
  <cp:keywords/>
  <dc:description/>
  <cp:lastModifiedBy>Elisabeth Tindeland</cp:lastModifiedBy>
  <cp:revision>2</cp:revision>
  <dcterms:created xsi:type="dcterms:W3CDTF">2020-10-02T12:33:00Z</dcterms:created>
  <dcterms:modified xsi:type="dcterms:W3CDTF">2020-10-02T12:33:00Z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0x010100CF2C80EF83C65E44A16CACBAEE94963C</vt:lpwstr>
  </property>
</Properties>
</file>